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896A" w14:textId="0B676787" w:rsidR="002A14DF" w:rsidRPr="00DF21B6" w:rsidRDefault="00012B03" w:rsidP="00012B03">
      <w:pPr>
        <w:jc w:val="center"/>
        <w:rPr>
          <w:rFonts w:ascii="Arial Nova" w:hAnsi="Arial Nova"/>
          <w:color w:val="FF0000"/>
          <w:sz w:val="26"/>
          <w:szCs w:val="26"/>
        </w:rPr>
      </w:pPr>
      <w:r w:rsidRPr="00DF21B6">
        <w:rPr>
          <w:rFonts w:ascii="Arial Nova" w:hAnsi="Arial Nova"/>
          <w:color w:val="FF0000"/>
          <w:sz w:val="26"/>
          <w:szCs w:val="26"/>
        </w:rPr>
        <w:t>Learning Resource Center of Polk County’s</w:t>
      </w:r>
    </w:p>
    <w:p w14:paraId="3BC0963C" w14:textId="2EDBADE6" w:rsidR="00012B03" w:rsidRPr="00DF21B6" w:rsidRDefault="00012B03" w:rsidP="00012B03">
      <w:pPr>
        <w:jc w:val="center"/>
        <w:rPr>
          <w:rFonts w:ascii="Script MT Bold" w:hAnsi="Script MT Bold"/>
          <w:color w:val="FF0000"/>
          <w:sz w:val="26"/>
          <w:szCs w:val="26"/>
        </w:rPr>
      </w:pPr>
      <w:r w:rsidRPr="00DF21B6">
        <w:rPr>
          <w:rFonts w:ascii="Script MT Bold" w:hAnsi="Script MT Bold"/>
          <w:color w:val="FF0000"/>
          <w:sz w:val="26"/>
          <w:szCs w:val="26"/>
        </w:rPr>
        <w:t>For the Love … of Learning 202</w:t>
      </w:r>
      <w:r w:rsidR="002A14DF">
        <w:rPr>
          <w:rFonts w:ascii="Script MT Bold" w:hAnsi="Script MT Bold"/>
          <w:color w:val="FF0000"/>
          <w:sz w:val="26"/>
          <w:szCs w:val="26"/>
        </w:rPr>
        <w:t>4</w:t>
      </w:r>
      <w:r w:rsidRPr="00DF21B6">
        <w:rPr>
          <w:rFonts w:ascii="Script MT Bold" w:hAnsi="Script MT Bold"/>
          <w:color w:val="FF0000"/>
          <w:sz w:val="26"/>
          <w:szCs w:val="26"/>
        </w:rPr>
        <w:t xml:space="preserve"> (February 1</w:t>
      </w:r>
      <w:r w:rsidR="002A14DF">
        <w:rPr>
          <w:rFonts w:ascii="Script MT Bold" w:hAnsi="Script MT Bold"/>
          <w:color w:val="FF0000"/>
          <w:sz w:val="26"/>
          <w:szCs w:val="26"/>
        </w:rPr>
        <w:t>7</w:t>
      </w:r>
      <w:r w:rsidRPr="00DF21B6">
        <w:rPr>
          <w:rFonts w:ascii="Script MT Bold" w:hAnsi="Script MT Bold"/>
          <w:color w:val="FF0000"/>
          <w:sz w:val="26"/>
          <w:szCs w:val="26"/>
        </w:rPr>
        <w:t>, 202</w:t>
      </w:r>
      <w:r w:rsidR="002A14DF">
        <w:rPr>
          <w:rFonts w:ascii="Script MT Bold" w:hAnsi="Script MT Bold"/>
          <w:color w:val="FF0000"/>
          <w:sz w:val="26"/>
          <w:szCs w:val="26"/>
        </w:rPr>
        <w:t>4</w:t>
      </w:r>
      <w:r w:rsidRPr="00DF21B6">
        <w:rPr>
          <w:rFonts w:ascii="Script MT Bold" w:hAnsi="Script MT Bold"/>
          <w:color w:val="FF0000"/>
          <w:sz w:val="26"/>
          <w:szCs w:val="26"/>
        </w:rPr>
        <w:t>)</w:t>
      </w:r>
    </w:p>
    <w:tbl>
      <w:tblPr>
        <w:tblStyle w:val="TableGrid"/>
        <w:tblW w:w="12162" w:type="dxa"/>
        <w:jc w:val="center"/>
        <w:tblLook w:val="04A0" w:firstRow="1" w:lastRow="0" w:firstColumn="1" w:lastColumn="0" w:noHBand="0" w:noVBand="1"/>
      </w:tblPr>
      <w:tblGrid>
        <w:gridCol w:w="2406"/>
        <w:gridCol w:w="1504"/>
        <w:gridCol w:w="1170"/>
        <w:gridCol w:w="1261"/>
        <w:gridCol w:w="1339"/>
        <w:gridCol w:w="1330"/>
        <w:gridCol w:w="1320"/>
        <w:gridCol w:w="1832"/>
      </w:tblGrid>
      <w:tr w:rsidR="00012B03" w14:paraId="592BF9D4" w14:textId="77777777" w:rsidTr="00F42424">
        <w:trPr>
          <w:trHeight w:val="636"/>
          <w:jc w:val="center"/>
        </w:trPr>
        <w:tc>
          <w:tcPr>
            <w:tcW w:w="2406" w:type="dxa"/>
          </w:tcPr>
          <w:p w14:paraId="3D8A52F6" w14:textId="77777777" w:rsidR="00012B03" w:rsidRPr="000D5281" w:rsidRDefault="00012B03" w:rsidP="00B76AE7">
            <w:pPr>
              <w:jc w:val="center"/>
              <w:rPr>
                <w:b/>
              </w:rPr>
            </w:pPr>
            <w:r w:rsidRPr="000D5281">
              <w:rPr>
                <w:b/>
              </w:rPr>
              <w:t xml:space="preserve">Sponsor </w:t>
            </w:r>
            <w:r>
              <w:rPr>
                <w:b/>
              </w:rPr>
              <w:t>Levels</w:t>
            </w:r>
          </w:p>
        </w:tc>
        <w:tc>
          <w:tcPr>
            <w:tcW w:w="1504" w:type="dxa"/>
          </w:tcPr>
          <w:p w14:paraId="7E9D72AB" w14:textId="77777777" w:rsidR="00012B03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$10,000</w:t>
            </w:r>
          </w:p>
          <w:p w14:paraId="7944F903" w14:textId="77777777" w:rsidR="00012B03" w:rsidRPr="000D5281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Title Sponsor</w:t>
            </w:r>
          </w:p>
          <w:p w14:paraId="6611E1B2" w14:textId="77777777" w:rsidR="00012B03" w:rsidRPr="009E3C55" w:rsidRDefault="00012B03" w:rsidP="00B76AE7">
            <w:pPr>
              <w:jc w:val="center"/>
              <w:rPr>
                <w:b/>
              </w:rPr>
            </w:pPr>
            <w:r w:rsidRPr="009E3C55">
              <w:rPr>
                <w:b/>
              </w:rPr>
              <w:t>Doctorate</w:t>
            </w:r>
          </w:p>
        </w:tc>
        <w:tc>
          <w:tcPr>
            <w:tcW w:w="1170" w:type="dxa"/>
          </w:tcPr>
          <w:p w14:paraId="570C625F" w14:textId="77777777" w:rsidR="00012B03" w:rsidRDefault="00012B03" w:rsidP="00B76AE7">
            <w:pPr>
              <w:jc w:val="center"/>
              <w:rPr>
                <w:b/>
              </w:rPr>
            </w:pPr>
            <w:r w:rsidRPr="000D5281">
              <w:rPr>
                <w:b/>
              </w:rPr>
              <w:t>$7,500</w:t>
            </w:r>
          </w:p>
          <w:p w14:paraId="1126C842" w14:textId="77777777" w:rsidR="00012B03" w:rsidRDefault="00012B03" w:rsidP="00B76AE7">
            <w:pPr>
              <w:jc w:val="center"/>
              <w:rPr>
                <w:b/>
              </w:rPr>
            </w:pPr>
          </w:p>
          <w:p w14:paraId="17DD351D" w14:textId="77777777" w:rsidR="00012B03" w:rsidRPr="000D5281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 xml:space="preserve"> Specialist</w:t>
            </w:r>
          </w:p>
        </w:tc>
        <w:tc>
          <w:tcPr>
            <w:tcW w:w="1261" w:type="dxa"/>
          </w:tcPr>
          <w:p w14:paraId="1C4B68A9" w14:textId="77777777" w:rsidR="00012B03" w:rsidRDefault="00012B03" w:rsidP="00B76AE7">
            <w:pPr>
              <w:jc w:val="center"/>
              <w:rPr>
                <w:b/>
              </w:rPr>
            </w:pPr>
            <w:r w:rsidRPr="000D5281">
              <w:rPr>
                <w:b/>
              </w:rPr>
              <w:t>$5000</w:t>
            </w:r>
          </w:p>
          <w:p w14:paraId="13FAEE0B" w14:textId="77777777" w:rsidR="00012B03" w:rsidRDefault="00012B03" w:rsidP="00B76AE7">
            <w:pPr>
              <w:jc w:val="center"/>
              <w:rPr>
                <w:b/>
              </w:rPr>
            </w:pPr>
          </w:p>
          <w:p w14:paraId="1C8ADCE3" w14:textId="77777777" w:rsidR="00012B03" w:rsidRPr="000D5281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  <w:tc>
          <w:tcPr>
            <w:tcW w:w="1339" w:type="dxa"/>
          </w:tcPr>
          <w:p w14:paraId="1648AF7B" w14:textId="77777777" w:rsidR="00012B03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$2500</w:t>
            </w:r>
          </w:p>
          <w:p w14:paraId="7D80D24E" w14:textId="77777777" w:rsidR="00012B03" w:rsidRDefault="00012B03" w:rsidP="00B76AE7">
            <w:pPr>
              <w:jc w:val="center"/>
              <w:rPr>
                <w:b/>
              </w:rPr>
            </w:pPr>
          </w:p>
          <w:p w14:paraId="5210E542" w14:textId="77777777" w:rsidR="00012B03" w:rsidRPr="000D5281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1330" w:type="dxa"/>
          </w:tcPr>
          <w:p w14:paraId="6D37F69B" w14:textId="77777777" w:rsidR="00012B03" w:rsidRDefault="00012B03" w:rsidP="00B76AE7">
            <w:pPr>
              <w:jc w:val="center"/>
              <w:rPr>
                <w:b/>
              </w:rPr>
            </w:pPr>
            <w:r w:rsidRPr="000D5281">
              <w:rPr>
                <w:b/>
              </w:rPr>
              <w:t>$1000</w:t>
            </w:r>
          </w:p>
          <w:p w14:paraId="16FC8C27" w14:textId="77777777" w:rsidR="00012B03" w:rsidRDefault="00012B03" w:rsidP="00B76AE7">
            <w:pPr>
              <w:jc w:val="center"/>
              <w:rPr>
                <w:b/>
              </w:rPr>
            </w:pPr>
          </w:p>
          <w:p w14:paraId="719960BF" w14:textId="77777777" w:rsidR="00012B03" w:rsidRPr="000D5281" w:rsidRDefault="00012B03" w:rsidP="00B76AE7">
            <w:pPr>
              <w:jc w:val="center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1320" w:type="dxa"/>
          </w:tcPr>
          <w:p w14:paraId="24218283" w14:textId="7190EBA7" w:rsidR="00012B03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  <w:r w:rsidRPr="000D5281">
              <w:rPr>
                <w:b/>
              </w:rPr>
              <w:t>$500</w:t>
            </w:r>
          </w:p>
          <w:p w14:paraId="3498B0A2" w14:textId="77777777" w:rsidR="00012B03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</w:p>
          <w:p w14:paraId="60BD16E8" w14:textId="77777777" w:rsidR="00012B03" w:rsidRPr="000D5281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  <w:r>
              <w:rPr>
                <w:b/>
              </w:rPr>
              <w:t>Associate</w:t>
            </w:r>
          </w:p>
        </w:tc>
        <w:tc>
          <w:tcPr>
            <w:tcW w:w="1832" w:type="dxa"/>
          </w:tcPr>
          <w:p w14:paraId="5124BD3D" w14:textId="77777777" w:rsidR="00012B03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  <w:r>
              <w:rPr>
                <w:b/>
              </w:rPr>
              <w:t>$250</w:t>
            </w:r>
          </w:p>
          <w:p w14:paraId="097CA9C6" w14:textId="77777777" w:rsidR="00012B03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</w:p>
          <w:p w14:paraId="0E89D7E4" w14:textId="77777777" w:rsidR="00012B03" w:rsidRPr="000D5281" w:rsidRDefault="00012B03" w:rsidP="00B76AE7">
            <w:pPr>
              <w:tabs>
                <w:tab w:val="left" w:pos="339"/>
              </w:tabs>
              <w:jc w:val="center"/>
              <w:rPr>
                <w:b/>
              </w:rPr>
            </w:pPr>
            <w:r>
              <w:rPr>
                <w:b/>
              </w:rPr>
              <w:t>Friend</w:t>
            </w:r>
          </w:p>
        </w:tc>
      </w:tr>
      <w:tr w:rsidR="00012B03" w14:paraId="43133CD2" w14:textId="77777777" w:rsidTr="00F42424">
        <w:trPr>
          <w:trHeight w:val="492"/>
          <w:jc w:val="center"/>
        </w:trPr>
        <w:tc>
          <w:tcPr>
            <w:tcW w:w="2406" w:type="dxa"/>
          </w:tcPr>
          <w:p w14:paraId="071C161B" w14:textId="77777777" w:rsidR="00012B03" w:rsidRDefault="00012B03" w:rsidP="00B76AE7">
            <w:r>
              <w:t>Quantity of Sponsorships Available</w:t>
            </w:r>
          </w:p>
        </w:tc>
        <w:tc>
          <w:tcPr>
            <w:tcW w:w="1504" w:type="dxa"/>
          </w:tcPr>
          <w:p w14:paraId="5B88C659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292E3B8B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 w:rsidRPr="009E3C55">
              <w:rPr>
                <w:b/>
                <w:color w:val="FF0000"/>
              </w:rPr>
              <w:t>1</w:t>
            </w:r>
          </w:p>
        </w:tc>
        <w:tc>
          <w:tcPr>
            <w:tcW w:w="1170" w:type="dxa"/>
          </w:tcPr>
          <w:p w14:paraId="6DAF1CF5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71F6DE8F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  <w:r w:rsidRPr="009E3C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61" w:type="dxa"/>
          </w:tcPr>
          <w:p w14:paraId="26C50205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6EEB4D36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  <w:r w:rsidRPr="009E3C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339" w:type="dxa"/>
          </w:tcPr>
          <w:p w14:paraId="53FDF0D3" w14:textId="77777777" w:rsidR="00012B03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00CB12F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  <w:r w:rsidRPr="009E3C55">
              <w:rPr>
                <w:rFonts w:cstheme="minorHAnsi"/>
                <w:b/>
                <w:color w:val="FF0000"/>
              </w:rPr>
              <w:t>Unlimited</w:t>
            </w:r>
          </w:p>
        </w:tc>
        <w:tc>
          <w:tcPr>
            <w:tcW w:w="1330" w:type="dxa"/>
          </w:tcPr>
          <w:p w14:paraId="11F62C72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2C13D91F" w14:textId="77777777" w:rsidR="00012B03" w:rsidRPr="009E3C55" w:rsidRDefault="00012B03" w:rsidP="00B76AE7">
            <w:pPr>
              <w:jc w:val="center"/>
              <w:rPr>
                <w:rFonts w:cstheme="minorHAnsi"/>
                <w:b/>
                <w:color w:val="FF0000"/>
              </w:rPr>
            </w:pPr>
            <w:r w:rsidRPr="009E3C55">
              <w:rPr>
                <w:rFonts w:cstheme="minorHAnsi"/>
                <w:b/>
                <w:color w:val="FF0000"/>
              </w:rPr>
              <w:t>Unlimited</w:t>
            </w:r>
          </w:p>
        </w:tc>
        <w:tc>
          <w:tcPr>
            <w:tcW w:w="1320" w:type="dxa"/>
          </w:tcPr>
          <w:p w14:paraId="107D4D96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3216265F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 w:rsidRPr="009E3C55">
              <w:rPr>
                <w:b/>
                <w:color w:val="FF0000"/>
              </w:rPr>
              <w:t>Unlimited</w:t>
            </w:r>
          </w:p>
        </w:tc>
        <w:tc>
          <w:tcPr>
            <w:tcW w:w="1832" w:type="dxa"/>
          </w:tcPr>
          <w:p w14:paraId="16CACACE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7CD2EE77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 w:rsidRPr="009E3C55">
              <w:rPr>
                <w:b/>
                <w:color w:val="FF0000"/>
              </w:rPr>
              <w:t>Unlimited</w:t>
            </w:r>
          </w:p>
        </w:tc>
      </w:tr>
      <w:tr w:rsidR="00012B03" w14:paraId="68D110CD" w14:textId="77777777" w:rsidTr="00F42424">
        <w:trPr>
          <w:trHeight w:val="325"/>
          <w:jc w:val="center"/>
        </w:trPr>
        <w:tc>
          <w:tcPr>
            <w:tcW w:w="2406" w:type="dxa"/>
          </w:tcPr>
          <w:p w14:paraId="54112C37" w14:textId="77777777" w:rsidR="00012B03" w:rsidRDefault="00012B03" w:rsidP="00B76AE7">
            <w:r>
              <w:t>Company Banner</w:t>
            </w:r>
          </w:p>
        </w:tc>
        <w:tc>
          <w:tcPr>
            <w:tcW w:w="1504" w:type="dxa"/>
          </w:tcPr>
          <w:p w14:paraId="31DA115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15D8553B" w14:textId="77777777" w:rsidR="00012B03" w:rsidRPr="009E3C55" w:rsidRDefault="00012B03" w:rsidP="00B76AE7">
            <w:pPr>
              <w:jc w:val="center"/>
              <w:rPr>
                <w:color w:val="FF0000"/>
              </w:rPr>
            </w:pPr>
            <w:r w:rsidRPr="009E3C55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170" w:type="dxa"/>
          </w:tcPr>
          <w:p w14:paraId="274A805E" w14:textId="77777777" w:rsidR="00012B03" w:rsidRDefault="00012B03" w:rsidP="00B76AE7">
            <w:pPr>
              <w:jc w:val="center"/>
              <w:rPr>
                <w:rFonts w:cstheme="minorHAnsi"/>
              </w:rPr>
            </w:pPr>
          </w:p>
          <w:p w14:paraId="702B5802" w14:textId="77777777" w:rsidR="00012B03" w:rsidRDefault="00012B03" w:rsidP="00B76AE7">
            <w:pPr>
              <w:jc w:val="center"/>
              <w:rPr>
                <w:rFonts w:cstheme="minorHAnsi"/>
              </w:rPr>
            </w:pPr>
            <w:r w:rsidRPr="009E3C55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261" w:type="dxa"/>
          </w:tcPr>
          <w:p w14:paraId="49DC37F7" w14:textId="77777777" w:rsidR="00012B03" w:rsidRDefault="00012B03" w:rsidP="00B76AE7">
            <w:pPr>
              <w:jc w:val="center"/>
              <w:rPr>
                <w:rFonts w:cstheme="minorHAnsi"/>
              </w:rPr>
            </w:pPr>
          </w:p>
        </w:tc>
        <w:tc>
          <w:tcPr>
            <w:tcW w:w="1339" w:type="dxa"/>
          </w:tcPr>
          <w:p w14:paraId="205BE6A9" w14:textId="77777777" w:rsidR="00012B03" w:rsidRDefault="00012B03" w:rsidP="00B76AE7">
            <w:pPr>
              <w:jc w:val="center"/>
              <w:rPr>
                <w:rFonts w:cstheme="minorHAnsi"/>
              </w:rPr>
            </w:pPr>
          </w:p>
        </w:tc>
        <w:tc>
          <w:tcPr>
            <w:tcW w:w="1330" w:type="dxa"/>
          </w:tcPr>
          <w:p w14:paraId="00AC9267" w14:textId="77777777" w:rsidR="00012B03" w:rsidRDefault="00012B03" w:rsidP="00B76AE7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77924F3" w14:textId="77777777" w:rsidR="00012B03" w:rsidRDefault="00012B03" w:rsidP="00B76AE7">
            <w:pPr>
              <w:jc w:val="center"/>
            </w:pPr>
          </w:p>
        </w:tc>
        <w:tc>
          <w:tcPr>
            <w:tcW w:w="1832" w:type="dxa"/>
          </w:tcPr>
          <w:p w14:paraId="7D8B6C92" w14:textId="14A8857E" w:rsidR="00012B03" w:rsidRDefault="00012B03" w:rsidP="00B76AE7">
            <w:pPr>
              <w:jc w:val="center"/>
            </w:pPr>
          </w:p>
        </w:tc>
      </w:tr>
      <w:tr w:rsidR="00012B03" w14:paraId="78D23D6A" w14:textId="77777777" w:rsidTr="00F42424">
        <w:trPr>
          <w:trHeight w:val="985"/>
          <w:jc w:val="center"/>
        </w:trPr>
        <w:tc>
          <w:tcPr>
            <w:tcW w:w="2406" w:type="dxa"/>
          </w:tcPr>
          <w:p w14:paraId="377E7ABD" w14:textId="77777777" w:rsidR="00012B03" w:rsidRDefault="00012B03" w:rsidP="00B76AE7">
            <w:r>
              <w:t xml:space="preserve">Logo Inclusion in all print media—invitations, </w:t>
            </w:r>
            <w:proofErr w:type="gramStart"/>
            <w:r>
              <w:t>newspaper,  newsletters</w:t>
            </w:r>
            <w:proofErr w:type="gramEnd"/>
            <w:r>
              <w:t>, posters, programs</w:t>
            </w:r>
          </w:p>
        </w:tc>
        <w:tc>
          <w:tcPr>
            <w:tcW w:w="1504" w:type="dxa"/>
          </w:tcPr>
          <w:p w14:paraId="0A377E94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0DFFA60C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2391C944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  <w:p w14:paraId="2AE3044E" w14:textId="77777777" w:rsidR="00012B03" w:rsidRDefault="00012B03" w:rsidP="00B76AE7">
            <w:pPr>
              <w:jc w:val="center"/>
            </w:pPr>
          </w:p>
        </w:tc>
        <w:tc>
          <w:tcPr>
            <w:tcW w:w="1170" w:type="dxa"/>
          </w:tcPr>
          <w:p w14:paraId="6228EC91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5708546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59B22E6" w14:textId="77777777" w:rsidR="00012B03" w:rsidRDefault="00012B03" w:rsidP="00B76AE7">
            <w:pPr>
              <w:jc w:val="center"/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261" w:type="dxa"/>
          </w:tcPr>
          <w:p w14:paraId="5B96BAD4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08A38CC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11B1C586" w14:textId="77777777" w:rsidR="00012B03" w:rsidRDefault="00012B03" w:rsidP="00B76AE7">
            <w:pPr>
              <w:jc w:val="center"/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9" w:type="dxa"/>
          </w:tcPr>
          <w:p w14:paraId="6BF3703B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5257D5E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3A477BC1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0" w:type="dxa"/>
          </w:tcPr>
          <w:p w14:paraId="636377A6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9F201A7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54366884" w14:textId="77777777" w:rsidR="00012B03" w:rsidRDefault="00012B03" w:rsidP="00B76AE7">
            <w:pPr>
              <w:jc w:val="center"/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20" w:type="dxa"/>
          </w:tcPr>
          <w:p w14:paraId="46546BBD" w14:textId="77777777" w:rsidR="00012B03" w:rsidRDefault="00012B03" w:rsidP="00B76AE7">
            <w:pPr>
              <w:jc w:val="center"/>
            </w:pPr>
          </w:p>
        </w:tc>
        <w:tc>
          <w:tcPr>
            <w:tcW w:w="1832" w:type="dxa"/>
          </w:tcPr>
          <w:p w14:paraId="2FB61F0F" w14:textId="28F7153F" w:rsidR="00012B03" w:rsidRDefault="00012B03" w:rsidP="00B76AE7">
            <w:pPr>
              <w:jc w:val="center"/>
            </w:pPr>
          </w:p>
        </w:tc>
      </w:tr>
      <w:tr w:rsidR="00012B03" w14:paraId="175116F4" w14:textId="77777777" w:rsidTr="00F42424">
        <w:trPr>
          <w:trHeight w:val="1104"/>
          <w:jc w:val="center"/>
        </w:trPr>
        <w:tc>
          <w:tcPr>
            <w:tcW w:w="2406" w:type="dxa"/>
          </w:tcPr>
          <w:p w14:paraId="348B09D7" w14:textId="77777777" w:rsidR="00012B03" w:rsidRDefault="00012B03" w:rsidP="00B76AE7">
            <w:r>
              <w:t>Recognition in all pre-event media—invitations, newspaper, newsletters, broadcasts, posters, programs</w:t>
            </w:r>
          </w:p>
        </w:tc>
        <w:tc>
          <w:tcPr>
            <w:tcW w:w="1504" w:type="dxa"/>
          </w:tcPr>
          <w:p w14:paraId="55053A2C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495853F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3725A4DE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170" w:type="dxa"/>
          </w:tcPr>
          <w:p w14:paraId="3A32B077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5A89A93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03ECEF8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261" w:type="dxa"/>
          </w:tcPr>
          <w:p w14:paraId="3496EA91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1CB19ADD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648ED01F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9" w:type="dxa"/>
          </w:tcPr>
          <w:p w14:paraId="55D32C2C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215277F1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3D017DD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0" w:type="dxa"/>
          </w:tcPr>
          <w:p w14:paraId="113065C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08BD841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69816FC6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20" w:type="dxa"/>
          </w:tcPr>
          <w:p w14:paraId="25A9DDB7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00AB86B5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F5B7D55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832" w:type="dxa"/>
          </w:tcPr>
          <w:p w14:paraId="03E40CD6" w14:textId="2A006B55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5ECD1C59" w14:textId="42092FE6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DC55B6B" w14:textId="77777777" w:rsidR="00012B03" w:rsidRDefault="00012B03" w:rsidP="00B76AE7">
            <w:pPr>
              <w:jc w:val="center"/>
            </w:pPr>
            <w:r w:rsidRPr="003E34F8">
              <w:rPr>
                <w:rFonts w:cstheme="minorHAnsi"/>
                <w:color w:val="FF0000"/>
              </w:rPr>
              <w:sym w:font="Webdings" w:char="F059"/>
            </w:r>
          </w:p>
        </w:tc>
      </w:tr>
      <w:tr w:rsidR="00012B03" w14:paraId="5B3EE36E" w14:textId="77777777" w:rsidTr="00F42424">
        <w:trPr>
          <w:trHeight w:val="786"/>
          <w:jc w:val="center"/>
        </w:trPr>
        <w:tc>
          <w:tcPr>
            <w:tcW w:w="2406" w:type="dxa"/>
          </w:tcPr>
          <w:p w14:paraId="1CEA4484" w14:textId="77777777" w:rsidR="00012B03" w:rsidRDefault="00012B03" w:rsidP="00B76AE7">
            <w:r>
              <w:t>Recognition: all electronic media—website, Facebook, Blog</w:t>
            </w:r>
          </w:p>
        </w:tc>
        <w:tc>
          <w:tcPr>
            <w:tcW w:w="1504" w:type="dxa"/>
          </w:tcPr>
          <w:p w14:paraId="6253466E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2FC1D8EE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170" w:type="dxa"/>
          </w:tcPr>
          <w:p w14:paraId="3AABFCAD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30946FF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261" w:type="dxa"/>
          </w:tcPr>
          <w:p w14:paraId="45F58FC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899E244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9" w:type="dxa"/>
          </w:tcPr>
          <w:p w14:paraId="428A3926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BBF36C1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0" w:type="dxa"/>
          </w:tcPr>
          <w:p w14:paraId="01A45CB0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198485DC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20" w:type="dxa"/>
          </w:tcPr>
          <w:p w14:paraId="0C100C10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5EAB7733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832" w:type="dxa"/>
          </w:tcPr>
          <w:p w14:paraId="7308B641" w14:textId="6C8EC042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3044D227" w14:textId="77777777" w:rsidR="00012B03" w:rsidRDefault="00012B03" w:rsidP="00B76AE7">
            <w:pPr>
              <w:jc w:val="center"/>
            </w:pPr>
            <w:r w:rsidRPr="00124739">
              <w:rPr>
                <w:rFonts w:cstheme="minorHAnsi"/>
                <w:color w:val="FF0000"/>
              </w:rPr>
              <w:sym w:font="Webdings" w:char="F059"/>
            </w:r>
          </w:p>
        </w:tc>
      </w:tr>
      <w:tr w:rsidR="00012B03" w14:paraId="5E2AB02C" w14:textId="77777777" w:rsidTr="00F42424">
        <w:trPr>
          <w:trHeight w:val="905"/>
          <w:jc w:val="center"/>
        </w:trPr>
        <w:tc>
          <w:tcPr>
            <w:tcW w:w="2406" w:type="dxa"/>
          </w:tcPr>
          <w:p w14:paraId="16A7D4D2" w14:textId="77777777" w:rsidR="00012B03" w:rsidRPr="0087071E" w:rsidRDefault="00012B03" w:rsidP="00B76AE7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 Complimentary Event Tickets</w:t>
            </w:r>
          </w:p>
          <w:p w14:paraId="3F9C384F" w14:textId="77777777" w:rsidR="00012B03" w:rsidRPr="0087071E" w:rsidRDefault="00012B03" w:rsidP="00B76AE7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    (value= $100/150 per ticket)</w:t>
            </w:r>
          </w:p>
        </w:tc>
        <w:tc>
          <w:tcPr>
            <w:tcW w:w="1504" w:type="dxa"/>
          </w:tcPr>
          <w:p w14:paraId="6728F521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2950E94D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170" w:type="dxa"/>
          </w:tcPr>
          <w:p w14:paraId="2013018C" w14:textId="77777777" w:rsidR="00012B03" w:rsidRPr="009E3C55" w:rsidRDefault="00012B03" w:rsidP="00B76AE7">
            <w:pPr>
              <w:rPr>
                <w:b/>
                <w:color w:val="FF0000"/>
              </w:rPr>
            </w:pPr>
            <w:r w:rsidRPr="009E3C55">
              <w:rPr>
                <w:b/>
                <w:color w:val="FF0000"/>
              </w:rPr>
              <w:t xml:space="preserve">        </w:t>
            </w:r>
          </w:p>
          <w:p w14:paraId="142F11C8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</w:tcPr>
          <w:p w14:paraId="6CC9E8CA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18F483FF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339" w:type="dxa"/>
          </w:tcPr>
          <w:p w14:paraId="777895CA" w14:textId="77777777" w:rsidR="00012B03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68176383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330" w:type="dxa"/>
          </w:tcPr>
          <w:p w14:paraId="64517F9D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2599A0E0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320" w:type="dxa"/>
          </w:tcPr>
          <w:p w14:paraId="11BD6800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2A4B8B70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832" w:type="dxa"/>
          </w:tcPr>
          <w:p w14:paraId="2F310D72" w14:textId="2ADB9C26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</w:p>
          <w:p w14:paraId="07DDAC61" w14:textId="77777777" w:rsidR="00012B03" w:rsidRPr="009E3C55" w:rsidRDefault="00012B03" w:rsidP="00B76A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2B03" w14:paraId="55BA3410" w14:textId="77777777" w:rsidTr="00F42424">
        <w:trPr>
          <w:trHeight w:val="61"/>
          <w:jc w:val="center"/>
        </w:trPr>
        <w:tc>
          <w:tcPr>
            <w:tcW w:w="2406" w:type="dxa"/>
          </w:tcPr>
          <w:p w14:paraId="26B564E6" w14:textId="77777777" w:rsidR="00012B03" w:rsidRDefault="00012B03" w:rsidP="00B76AE7">
            <w:r>
              <w:t>Inclusion in all post-event promotional media</w:t>
            </w:r>
          </w:p>
        </w:tc>
        <w:tc>
          <w:tcPr>
            <w:tcW w:w="1504" w:type="dxa"/>
          </w:tcPr>
          <w:p w14:paraId="17EC8806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682B180F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170" w:type="dxa"/>
          </w:tcPr>
          <w:p w14:paraId="5846D50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30678F17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261" w:type="dxa"/>
          </w:tcPr>
          <w:p w14:paraId="0FE93083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7FF6CC2E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9" w:type="dxa"/>
          </w:tcPr>
          <w:p w14:paraId="3A040290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6E31FE9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  <w:r w:rsidRPr="00F2525D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30" w:type="dxa"/>
          </w:tcPr>
          <w:p w14:paraId="124C0012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08AB5E87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320" w:type="dxa"/>
          </w:tcPr>
          <w:p w14:paraId="3156060F" w14:textId="77777777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4C333CF3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  <w:tc>
          <w:tcPr>
            <w:tcW w:w="1832" w:type="dxa"/>
          </w:tcPr>
          <w:p w14:paraId="64B60566" w14:textId="5F61D72B" w:rsidR="00012B03" w:rsidRDefault="00012B03" w:rsidP="00B76AE7">
            <w:pPr>
              <w:jc w:val="center"/>
              <w:rPr>
                <w:rFonts w:cstheme="minorHAnsi"/>
                <w:color w:val="FF0000"/>
              </w:rPr>
            </w:pPr>
          </w:p>
          <w:p w14:paraId="35FA1311" w14:textId="77777777" w:rsidR="00012B03" w:rsidRDefault="00012B03" w:rsidP="00B76AE7">
            <w:pPr>
              <w:jc w:val="center"/>
            </w:pPr>
            <w:r w:rsidRPr="0030761F">
              <w:rPr>
                <w:rFonts w:cstheme="minorHAnsi"/>
                <w:color w:val="FF0000"/>
              </w:rPr>
              <w:sym w:font="Webdings" w:char="F059"/>
            </w:r>
          </w:p>
        </w:tc>
      </w:tr>
    </w:tbl>
    <w:p w14:paraId="5D4AB83B" w14:textId="48FB17AC" w:rsidR="00012B03" w:rsidRPr="00012B03" w:rsidRDefault="00F42424" w:rsidP="00B70CA5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0E180BC5" wp14:editId="389E3CEA">
            <wp:simplePos x="0" y="0"/>
            <wp:positionH relativeFrom="margin">
              <wp:posOffset>2760345</wp:posOffset>
            </wp:positionH>
            <wp:positionV relativeFrom="page">
              <wp:posOffset>5777865</wp:posOffset>
            </wp:positionV>
            <wp:extent cx="4029075" cy="1790700"/>
            <wp:effectExtent l="0" t="0" r="9525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B03" w:rsidRPr="00012B03" w:rsidSect="00B70C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03"/>
    <w:rsid w:val="00012B03"/>
    <w:rsid w:val="002A14DF"/>
    <w:rsid w:val="005C6429"/>
    <w:rsid w:val="00706438"/>
    <w:rsid w:val="00B70CA5"/>
    <w:rsid w:val="00BC35A6"/>
    <w:rsid w:val="00DF21B6"/>
    <w:rsid w:val="00EC6C19"/>
    <w:rsid w:val="00F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C5D6"/>
  <w15:chartTrackingRefBased/>
  <w15:docId w15:val="{B44D9825-EACF-4534-A79E-29D32F3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Kelley</dc:creator>
  <cp:keywords/>
  <dc:description/>
  <cp:lastModifiedBy>Pamela Craven</cp:lastModifiedBy>
  <cp:revision>2</cp:revision>
  <cp:lastPrinted>2022-08-15T13:47:00Z</cp:lastPrinted>
  <dcterms:created xsi:type="dcterms:W3CDTF">2023-10-16T19:26:00Z</dcterms:created>
  <dcterms:modified xsi:type="dcterms:W3CDTF">2023-10-16T19:26:00Z</dcterms:modified>
</cp:coreProperties>
</file>